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DVVwZVG (Bayern)</w:t>
      </w:r>
    </w:p>
    <w:p>
      <w:r>
        <w:rPr>
          <w:color w:val="555555"/>
          <w:sz w:val="18"/>
        </w:rPr>
        <w:t xml:space="preserve">Verordnung zur Durchführung des Bayerischen Verwaltungszustellungs- und Vollstreckungsgesetzes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42 des Bayerischen Verwaltungszustellungs- und Vollstreckungsgesetzes erläßt die Bayerische Staatsregierung folgende Verordnung:</w:t>
      </w:r>
    </w:p>
    <w:p>
      <w:r>
        <w:rPr>
          <w:color w:val="555555"/>
          <w:sz w:val="17"/>
        </w:rPr>
        <w:t xml:space="preserve">Zitiervorschlag: Eingangsformel DVVwZVG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https://recht.nulegal.eu/gesetze/DVVwZVG/eingangsformel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