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DVVwZVG (Bayern) — Inkrafttreten</w:t>
      </w:r>
    </w:p>
    <w:p>
      <w:r>
        <w:rPr>
          <w:color w:val="555555"/>
          <w:sz w:val="18"/>
        </w:rPr>
        <w:t xml:space="preserve">Verordnung zur Durchführung des Bayerischen Verwaltungszustellungs- und Vollstreckungsgesetzes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September 1961 in Kraft.</w:t>
      </w:r>
    </w:p>
    <w:p>
      <w:r>
        <w:t xml:space="preserve">[Amtl. Anm.:] Betrifft die ursprüngliche Fassung vom 29. August 1961 (GVBl. S. 213)</w:t>
      </w:r>
    </w:p>
    <w:p>
      <w:r>
        <w:rPr>
          <w:color w:val="555555"/>
          <w:sz w:val="17"/>
        </w:rPr>
        <w:t xml:space="preserve">Zitiervorschlag: § 5 DVVwZVG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https://recht.nulegal.eu/gesetze/DVVwZVG/5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