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DVVwZVG (Bayern) — Pfändung und Einziehung von Geldforderungen (Zu Art. 27 Abs. 2 Satz 1 VwZVG)</w:t>
      </w:r>
    </w:p>
    <w:p>
      <w:r>
        <w:rPr>
          <w:color w:val="555555"/>
          <w:sz w:val="18"/>
        </w:rPr>
        <w:t xml:space="preserve">Verordnung zur Durchführung des Bayerischen Verwaltungszustellungs- und Vollstreckungsgesetzes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Folgenden juristischen Personen des öffentlichen Rechts wird die Befugnis zur Pfändung und Einziehung von Geldforderungen erteilt:</w:t>
      </w:r>
    </w:p>
    <w:p>
      <w:r>
        <w:t xml:space="preserve">1. der AOK Bayern,</w:t>
      </w:r>
    </w:p>
    <w:p>
      <w:r>
        <w:t xml:space="preserve">2. der BKK Akzo Nobel Bayern,</w:t>
      </w:r>
    </w:p>
    <w:p>
      <w:r>
        <w:t xml:space="preserve">3. der BKK Faber-Castell &amp; Partner.</w:t>
      </w:r>
    </w:p>
    <w:p>
      <w:r>
        <w:rPr>
          <w:color w:val="555555"/>
          <w:sz w:val="17"/>
        </w:rPr>
        <w:t xml:space="preserve">Zitiervorschlag: § 4 DVVwZVG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https://recht.nulegal.eu/gesetze/DVVwZVG/4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