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DVVwZVG (Bayern) — Anbringung der Vollstreckungsklausel (Zu Art. 27 Abs. 2 Satz 1 VwZVG)</w:t>
      </w:r>
    </w:p>
    <w:p>
      <w:r>
        <w:rPr>
          <w:color w:val="555555"/>
          <w:sz w:val="18"/>
        </w:rPr>
        <w:t xml:space="preserve">Verordnung zur Durchführung des Bayerischen Verwaltungszustellungs- und Vollstreckungsgesetzes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Folgenden juristischen Personen des öffentlichen Rechts wird die Befugnis zur Anbringung der Vollstreckungsklausel (Art. 24 Abs. 1 Nr. 2 VwZVG) erteilt:</w:t>
      </w:r>
    </w:p>
    <w:p>
      <w:r>
        <w:t xml:space="preserve">1. dem Wasserverband Knoblauchsland mit Sitz in Nürnberg,</w:t>
      </w:r>
    </w:p>
    <w:p>
      <w:r>
        <w:t xml:space="preserve">2. dem Wasser- und Bodenverband Waldnaabregulierung Rothenstadt – Neustadt a.d.Waldnaab mit Sitz in Weiden i.d.OPf.,</w:t>
      </w:r>
    </w:p>
    <w:p>
      <w:r>
        <w:t xml:space="preserve">3. dem Wasserverband Schmuttertal – Abschnitt Eisenbrechtshofen – Autobahn im Lkr. Augsburg mit Sitz in Gablingen,</w:t>
      </w:r>
    </w:p>
    <w:p>
      <w:r>
        <w:t xml:space="preserve">4. dem Wasser- und Bodenverband Isen I, Sitz Mettenheim,</w:t>
      </w:r>
    </w:p>
    <w:p>
      <w:r>
        <w:t xml:space="preserve">5. dem Wasser- und Bodenverband Isen II, Sitz Walkersaich,</w:t>
      </w:r>
    </w:p>
    <w:p>
      <w:r>
        <w:t xml:space="preserve">6. den Rechtsanwaltskammern München, Nürnberg und Bamberg, soweit diese nicht bereits nach Bundesrecht eine entsprechende Befugnis haben,</w:t>
      </w:r>
    </w:p>
    <w:p>
      <w:r>
        <w:t xml:space="preserve">7. den landesunmittelbaren Sozialversicherungsträgern,</w:t>
      </w:r>
    </w:p>
    <w:p>
      <w:r>
        <w:t xml:space="preserve">8. der Kassenärztlichen Vereinigung Bayerns,</w:t>
      </w:r>
    </w:p>
    <w:p>
      <w:r>
        <w:t xml:space="preserve">9. der Kassenzahnärztlichen Vereinigung Bayerns,</w:t>
      </w:r>
    </w:p>
    <w:p>
      <w:r>
        <w:t xml:space="preserve">10. dem Bayerischen Jugendring,</w:t>
      </w:r>
    </w:p>
    <w:p>
      <w:r>
        <w:t xml:space="preserve">11. der Notarkasse,</w:t>
      </w:r>
    </w:p>
    <w:p>
      <w:r>
        <w:t xml:space="preserve">12. der Bayerischen Tierseuchenkasse,</w:t>
      </w:r>
    </w:p>
    <w:p>
      <w:r>
        <w:t xml:space="preserve">13. dem Klinikum rechts der Isar der Technischen Universität München,</w:t>
      </w:r>
    </w:p>
    <w:p>
      <w:r>
        <w:t xml:space="preserve">14. den Steuerberaterkammern München und Nürnberg, soweit diese nicht bereits nach Bundesrecht eine entsprechende Befugnis haben oder nach Art. 1 Satz 1 des Gesetzes über die Vollstreckung von Beitrags- und Gebührenforderungen der Steuerberaterkammern befugt sind, die Vollstreckungsklausel auf eine Ausfertigung des Leistungsbescheides oder des Ausstandsverzeichnisses zu setzen.</w:t>
      </w:r>
    </w:p>
    <w:p>
      <w:r>
        <w:rPr>
          <w:color w:val="555555"/>
          <w:sz w:val="17"/>
        </w:rPr>
        <w:t xml:space="preserve">Zitiervorschlag: § 3 DVVwZVG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https://recht.nulegal.eu/gesetze/DVVwZVG/3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