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DVVwZVG (Bayern) — Beitreibungsersuchen (Zu Art. 24 Abs. 1 Nr. 1 VwZVG)</w:t>
      </w:r>
    </w:p>
    <w:p>
      <w:r>
        <w:rPr>
          <w:color w:val="555555"/>
          <w:sz w:val="18"/>
        </w:rPr>
        <w:t xml:space="preserve">Verordnung zur Durchführung des Bayerischen Verwaltungszustellungs- und Vollstreckungsgesetzes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Beitreibungsersuchen an das Finanzamt oder die nach dem Recht eines anderen Landes der Bundesrepublik Deutschland oder die nach einer völkerrechtlichen Vereinbarung zuständige Stelle muß insbesondere folgende Angaben enthalten:</w:t>
      </w:r>
    </w:p>
    <w:p>
      <w:r>
        <w:t xml:space="preserve">a) die Bezeichnung des Vollstreckungsschuldners nach Familienname, Vorname, Wohnort und Wohnung;</w:t>
      </w:r>
    </w:p>
    <w:p>
      <w:r>
        <w:t xml:space="preserve">b) den Geldbetrag, den der Vollstreckungsschuldner dem Freistaat Bayern schuldet, nach Art und Höhe, falls erforderlich nach Jahrgang;</w:t>
      </w:r>
    </w:p>
    <w:p>
      <w:r>
        <w:t xml:space="preserve">c) die Erklärung der Anordnungsbehörde oder der für sie zuständigen Kasse oder Zahlstelle, daß der beizutreibende Anspruch vollstreckbar ist.</w:t>
      </w:r>
    </w:p>
    <w:p>
      <w:r>
        <w:rPr>
          <w:color w:val="555555"/>
          <w:sz w:val="17"/>
        </w:rPr>
        <w:t xml:space="preserve">Zitiervorschlag: § 1 DVVwZVG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https://recht.nulegal.eu/gesetze/DVVwZVG/1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