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DVVersoG (Bayern) — Versorgungskammer</w:t>
      </w:r>
    </w:p>
    <w:p>
      <w:r>
        <w:rPr>
          <w:color w:val="555555"/>
          <w:sz w:val="18"/>
        </w:rPr>
        <w:t xml:space="preserve">Verordnung zur Durchführung des Gesetzes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Versicherungskammer – Versorgung (Versorgungskammer) wird unterhalb der Vorstandsebene zur Erledigung ihrer Aufgaben in Geschäfts- und Zentralbereiche gegliedert. Zahl und Aufgaben der Geschäfts- und Zentralbereiche bestimmt der Vorstand im Benehmen mit dem Kammerrat.</w:t>
      </w:r>
    </w:p>
    <w:p>
      <w:r>
        <w:t xml:space="preserve">(2) Die Gliederung der Geschäfts- und Zentralbereiche ist Aufgabe des Vorstands.</w:t>
      </w:r>
    </w:p>
    <w:p>
      <w:r>
        <w:rPr>
          <w:color w:val="555555"/>
          <w:sz w:val="17"/>
        </w:rPr>
        <w:t xml:space="preserve">Zitiervorschlag: § 1 DVVersoG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https://recht.nulegal.eu/gesetze/DVVersoG/1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