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DVPOG (Bayern) — Inkrafttreten, Außerkrafttreten</w:t>
      </w:r>
    </w:p>
    <w:p>
      <w:r>
        <w:rPr>
          <w:color w:val="555555"/>
          <w:sz w:val="18"/>
        </w:rPr>
        <w:t xml:space="preserve">Verordnung zur Durchführung des Polizeiorganisationsgesetzes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April 1998 in Kraft.</w:t>
      </w:r>
    </w:p>
    <w:p>
      <w:r>
        <w:rPr>
          <w:color w:val="555555"/>
          <w:sz w:val="17"/>
        </w:rPr>
        <w:t xml:space="preserve">Zitiervorschlag: § 3 DVPOG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https://recht.nulegal.eu/gesetze/DVPOG/3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