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DVPOG (Bayern) — Bayerische Bereitschaftspolizei</w:t>
      </w:r>
    </w:p>
    <w:p>
      <w:r>
        <w:rPr>
          <w:color w:val="555555"/>
          <w:sz w:val="18"/>
        </w:rPr>
        <w:t xml:space="preserve">Verordnung zur Durchführung des Polizeiorganisationsgesetzes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Dienststellen der Bayerischen Bereitschaftspolizei ergeben sich aus der Anlage 2 .</w:t>
      </w:r>
    </w:p>
    <w:p>
      <w:r>
        <w:t xml:space="preserve">(2) Sie führen die in der Anlage 2 bestimmten Bezeichnungen und haben die dort angegebenen Sitze.</w:t>
      </w:r>
    </w:p>
    <w:p>
      <w:r>
        <w:rPr>
          <w:color w:val="555555"/>
          <w:sz w:val="17"/>
        </w:rPr>
        <w:t xml:space="preserve">Zitiervorschlag: § 2 DVPOG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https://recht.nulegal.eu/gesetze/DVPOG/2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