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DVOSächsBO (Sachsen) — (zu § 12 Absatz 3)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Kriterienkatalog nach § 12 Absatz 3 DVOSächsBO</w:t>
      </w:r>
    </w:p>
    <w:p>
      <w:r>
        <w:t xml:space="preserve">Sind die nachfolgenden Kriterien ausnahmslos erfüllt, ist eine Prüfung des Standsicherheitsnachweises nicht erforderlich:</w:t>
      </w:r>
    </w:p>
    <w:p>
      <w:r>
        <w:t xml:space="preserve">1. Die Baugrundverhältnisse sind eindeutig und erlauben eine übliche Flachgründung entsprechend DIN EN 1997-1 in Verbindung mit DIN 1054. Ausgenommen sind Gründungen auf setzungsempfindlichem Baugrund.</w:t>
      </w:r>
    </w:p>
    <w:p>
      <w:r>
        <w:t xml:space="preserve">2. Bei erddruckbelasteten Gebäuden beträgt die Höhendifferenz zwischen Gründungssohle und Erdoberfläche maximal 4 m. Einwirkungen aus Wasserdruck müssen rechnerisch nicht berücksichtigt werden.</w:t>
      </w:r>
    </w:p>
    <w:p>
      <w:r>
        <w:t xml:space="preserve">3. Angrenzende bauliche Anlagen oder öffentliche Verkehrsflächen werden nicht beeinträchtigt. Unterfangungen oder nachzuweisende Baugrubensicherungen sind nicht erforderlich.</w:t>
      </w:r>
    </w:p>
    <w:p>
      <w:r>
        <w:t xml:space="preserve">4. Die tragenden und aussteifenden Bauteile gehen im Wesentlichen bis zu den Fundamenten unversetzt durch. Ein rechnerischer Nachweis der Gebäudeaussteifung, auch für Teilbereiche, ist nicht erforderlich.</w:t>
      </w:r>
    </w:p>
    <w:p>
      <w:r>
        <w:t xml:space="preserve">5. Die Geschossdecken sind linienförmig gelagert und dürfen für gleichmäßig verteilte Lasten (kN/m² und Linienlasten aus nichttragenden Wänden (kN/m) bemessen werden. Geschossdecken ohne ausreichende Querverteilung erhalten keine Einzellasten.</w:t>
      </w:r>
    </w:p>
    <w:p>
      <w:r>
        <w:t xml:space="preserve">6. Die Bauteile der baulichen Anlage oder die bauliche Anlage selbst können mit einfachen Verfahren der Baustatik berechnet oder konstruktiv festgelegt werden. Räumliche Tragstrukturen müssen rechnerisch nicht nachgewiesen werden. Besondere Stabilitäts-, Verformungs- und Schwingungsuntersuchungen sind nicht erforderlich.</w:t>
      </w:r>
    </w:p>
    <w:p>
      <w:r>
        <w:t xml:space="preserve">7. Außergewöhnliche sowie dynamische Einwirkungen sind nicht vorhanden. Beanspruchungen aus Erdbeben müssen rechnerisch nicht verfolgt werden.</w:t>
      </w:r>
    </w:p>
    <w:p>
      <w:r>
        <w:t xml:space="preserve">8. Besondere Bauarten und Bauteile wie zum Beispiel Spannbetonbau, Verbundbau, durch Klebung zusammengesetzte Holzbauteile oder Holztragwerke und geschweißte Aluminiumkonstruktionen werden nicht angewendet.</w:t>
      </w:r>
    </w:p>
    <w:p>
      <w:r>
        <w:t xml:space="preserve">9. Allgemeine Rechen- oder Berechnungsverfahren oder erweiterte Berechnungsmodelle zur Bemessung von Bauteilen und Tragwerken unter Brandeinwirkung werden nicht angewendet.</w:t>
      </w:r>
    </w:p>
    <w:p>
      <w:r>
        <w:rPr>
          <w:color w:val="555555"/>
          <w:sz w:val="17"/>
        </w:rPr>
        <w:t xml:space="preserve">Zitiervorschlag: Anlage 2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DVOSächsBO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