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DVOSächsBO (Sachsen) — Sonstige Bauvorlagen, Verzicht auf Bauvorlagen und Nachreichung von Bauvorlagen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Bauaufsichtsbehörde kann weitere Bauvorlagen fordern, wenn diese zur Beurteilung des Bauvorhabens erforderlich sind.</w:t>
      </w:r>
    </w:p>
    <w:p>
      <w:r>
        <w:t xml:space="preserve">(2) Die Bauaufsichtsbehörde soll auf Bauvorlagen verzichten, wenn diese zur Beurteilung des Bauvorhabens nicht erforderlich sind.</w:t>
      </w:r>
    </w:p>
    <w:p>
      <w:r>
        <w:t xml:space="preserve">(3) Die Bauaufsichtsbehörde kann gestatten, dass einzelne Bauvorlagen nachgereicht werden.</w:t>
      </w:r>
    </w:p>
    <w:p>
      <w:r>
        <w:t xml:space="preserve">(4) Die Bauaufsichtsbehörde kann gestatten, dass der Brandschutznachweis spätestens bei Baubeginn vorgelegt wird. Der Standsicherheitsnachweis sowie die sonstigen bautechnischen Nachweise können der Bauaufsichtsbehörde spätestens bei Baubeginn vorgelegt werden.</w:t>
      </w:r>
    </w:p>
    <w:p>
      <w:r>
        <w:rPr>
          <w:color w:val="555555"/>
          <w:sz w:val="17"/>
        </w:rPr>
        <w:t xml:space="preserve">Zitiervorschlag: § 7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