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38a DVOSächsBO (Sachsen) — Beurteilung von Baugrundgutachten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Bewerberin oder der Bewerber hat dem Beirat (§ 37 Absatz 1 Satz 2) ein Verzeichnis aller innerhalb eines Zeitraums von zwei Jahren vor Antragstellung erstellten Baugrundgutachten vorzulegen. Aus dem Verzeichnis müssen mindestens zehn Gutachten die Bewältigung überdurchschnittlicher Aufgaben darlegen; zwei von diesen zehn Gutachten sind gesondert vorzulegen. Die Gutachten nach Satz 2 Halbsatz 1 müssen folgende erd- und grundbauspezifischen Themen behandeln:</w:t>
      </w:r>
    </w:p>
    <w:p>
      <w:r>
        <w:t xml:space="preserve">1. Baugrundverformungen und ihre Wirkung auf bauliche Anlagen (Boden-Bauwerk-Wechselwirkung),</w:t>
      </w:r>
    </w:p>
    <w:p>
      <w:r>
        <w:t xml:space="preserve">2. Sicherheit der Gründung der baulichen Anlage,</w:t>
      </w:r>
    </w:p>
    <w:p>
      <w:r>
        <w:t xml:space="preserve">3. boden- und felsmechanische Annahmen zum Tragverhalten und zum Berechnungsmodell,</w:t>
      </w:r>
    </w:p>
    <w:p>
      <w:r>
        <w:t xml:space="preserve">4. boden- und felsmechanische Kenngrößen.</w:t>
      </w:r>
    </w:p>
    <w:p>
      <w:r>
        <w:t xml:space="preserve">Die Gutachten nach Satz 2 Halbsatz 1 sollen im Falle von Gründungsvorschlägen die Einsatzbereiche mit den erforderlichen Randbedingungen festlegen.</w:t>
      </w:r>
    </w:p>
    <w:p>
      <w:r>
        <w:t xml:space="preserve">(2) Der Beirat beurteilt das Verzeichnis und die beiden vorgelegten Gutachten nach Absatz 1 im Hinblick auf die Eignung der Bewerberin oder des Bewerbers. Eine Bewerberin oder ein Bewerber, die oder der bereits danach die Anforderungen des § 37 Absatz 1 Satz 1 Nummer 3 nicht erfüllt, wird nicht zum schriftlichen Kenntnisnachweis zugelassen.</w:t>
      </w:r>
    </w:p>
    <w:p>
      <w:r>
        <w:t xml:space="preserve">(3) Wiederholt die Bewerberin oder der Bewerber den schriftlichen Kenntnisnachweis, ist eine erneute Vorlage des Verzeichnisses und der Gutachten nach Absatz 1 und der Beurteilung nach Absatz 2 nur erforderlich, wenn seit der letzten Beurteilung mehr als fünf Jahre vergangen sind.</w:t>
      </w:r>
    </w:p>
    <w:p>
      <w:r>
        <w:rPr>
          <w:color w:val="555555"/>
          <w:sz w:val="17"/>
        </w:rPr>
        <w:t xml:space="preserve">Zitiervorschlag: § 38a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https://recht.nulegal.eu/gesetze/DVOS%C3%A4chsBO/38a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