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DVOSächsBO (Sachsen) — Fachgutachten</w:t>
      </w:r>
    </w:p>
    <w:p>
      <w:r>
        <w:rPr>
          <w:color w:val="555555"/>
          <w:sz w:val="18"/>
        </w:rPr>
        <w:t xml:space="preserve">Durchführungsverordnung zur SächsBO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Fachgutachten beruht auf</w:t>
      </w:r>
    </w:p>
    <w:p>
      <w:r>
        <w:t xml:space="preserve">1. der Beurteilung von Baugrundgutachten (§ 38a),</w:t>
      </w:r>
    </w:p>
    <w:p>
      <w:r>
        <w:t xml:space="preserve">2. dem schriftlichen Kenntnisnachweis (§ 38b).</w:t>
      </w:r>
    </w:p>
    <w:p>
      <w:r>
        <w:rPr>
          <w:color w:val="555555"/>
          <w:sz w:val="17"/>
        </w:rPr>
        <w:t xml:space="preserve">Zitiervorschlag: § 38 DVOSächsBO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https://recht.nulegal.eu/gesetze/DVOS%C3%A4chsBO/38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