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DVOSächsBO (Sachsen) — Typenprüfung, Prüfung der Standsicherheit Fliegender Bauten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Sollen prüfpflichtige bauliche Anlagen oder Teile von baulichen Anlagen (§ 66 Absatz 3 der Sächsischen Bauordnung ) in gleicher Ausführung an mehreren Stellen errichtet oder verwendet werden, ohne dass deren Standsicherheit bauaufsichtlich geprüft ist, müssen die Standsicherheitsnachweise von der Landesdirektion Sachsen – Landesstelle für Bautechnik – geprüft sein (Typenprüfung).</w:t>
      </w:r>
    </w:p>
    <w:p>
      <w:r>
        <w:t xml:space="preserve">(2) Die Geltungsdauer der Typenprüfung ist zu befristen. Sie soll nicht mehr als fünf Jahre betragen. Sie kann auf schriftlichen Antrag um jeweils höchstens fünf Jahre verlängert werden.</w:t>
      </w:r>
    </w:p>
    <w:p>
      <w:r>
        <w:t xml:space="preserve">(3) Die Nachweise der Standsicherheit Fliegender Bauten müssen vom Prüfamt gemäß § 31 Absatz 1 Satz 2 Nummer 2 geprüft werden.</w:t>
      </w:r>
    </w:p>
    <w:p>
      <w:r>
        <w:rPr>
          <w:color w:val="555555"/>
          <w:sz w:val="17"/>
        </w:rPr>
        <w:t xml:space="preserve">Zitiervorschlag: § 32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