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25d DVOSächsBO (Sachsen) — Rücktritt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schriftliche Prüfung gilt als nicht abgelegt, wenn die Bewerberin oder der Bewerber nach erfolgter Zulassung</w:t>
      </w:r>
    </w:p>
    <w:p>
      <w:r>
        <w:t xml:space="preserve">1. vor Beginn der schriftlichen Prüfung oder</w:t>
      </w:r>
    </w:p>
    <w:p>
      <w:r>
        <w:t xml:space="preserve">2. nach Beginn der schriftlichen Prüfung aus von ihr oder ihm nicht zu vertretenden Gründen</w:t>
      </w:r>
    </w:p>
    <w:p>
      <w:r>
        <w:t xml:space="preserve">von der Teilnahme an der schriftlichen Prüfung zurücktritt; der Grund nach Nummer 2 ist gegenüber dem Prüfungsausschuss glaubhaft zu machen, im Krankheitsfall durch Vorlage einer ärztlichen Bestätigung. Im Übrigen gilt die schriftliche Prüfung als nicht bestanden.</w:t>
      </w:r>
    </w:p>
    <w:p>
      <w:r>
        <w:rPr>
          <w:color w:val="555555"/>
          <w:sz w:val="17"/>
        </w:rPr>
        <w:t xml:space="preserve">Zitiervorschlag: § 25d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https://recht.nulegal.eu/gesetze/DVOS%C3%A4chsBO/25d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