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DVOSächsBO (Sachsen) — Voraussetzungen der Anerkennung</w:t>
      </w:r>
    </w:p>
    <w:p>
      <w:r>
        <w:rPr>
          <w:color w:val="555555"/>
          <w:sz w:val="18"/>
        </w:rPr>
        <w:t xml:space="preserve">Durchführungsverordnung zur SächsBO</w:t>
      </w:r>
    </w:p>
    <w:p>
      <w:r>
        <w:rPr>
          <w:color w:val="555555"/>
          <w:sz w:val="18"/>
        </w:rPr>
        <w:t xml:space="preserve">Landesrecht Sachsen</w:t>
      </w:r>
    </w:p>
    <w:p>
      <w:r>
        <w:rPr>
          <w:color w:val="555555"/>
          <w:sz w:val="18"/>
        </w:rPr>
        <w:t xml:space="preserve">Stand: 26.08.2026 (konsolidierte Textfassung, kein amtliches Inkrafttretensdatum)</w:t>
      </w:r>
    </w:p>
    <w:p>
      <w:r>
        <w:t xml:space="preserve">(1) Soweit nachfolgend nichts anderes geregelt ist, werden als Prüfingenieurinnen, Prüfingenieure und Prüfsachverständige nur Personen anerkannt, welche die allgemeinen Voraussetzungen des § 17 sowie die besonderen Voraussetzungen ihres jeweiligen Fachbereichs und, soweit erforderlich, ihrer jeweiligen Fachrichtung nachgewiesen haben.</w:t>
      </w:r>
    </w:p>
    <w:p>
      <w:r>
        <w:t xml:space="preserve">(2) Die Anerkennung kann bei Bewerberinnen und Bewerbern, die nicht Deutsche im Sinne des Artikel 116 Absatz 1 des Grundgesetzes sind, versagt werden, wenn die Gegenseitigkeit nicht gewahrt ist. Dies gilt nicht für Bewerberinnen und Bewerber, welche die Staatsangehörigkeit eines Mitgliedstaates der Europäischen Union, eines anderen Vertragsstaates des Abkommens über den Europäischen Wirtschaftsraum oder der Schweiz haben.</w:t>
      </w:r>
    </w:p>
    <w:p>
      <w:r>
        <w:rPr>
          <w:color w:val="555555"/>
          <w:sz w:val="17"/>
        </w:rPr>
        <w:t xml:space="preserve">Zitiervorschlag: § 16 DVOSächsBO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https://recht.nulegal.eu/gesetze/DVOS%C3%A4chsBO/16</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