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12g DVOSächsBO (Sachsen) — Formerfordernisse für Behörden, Bekanntgabe von Verwaltungsakten</w:t>
      </w:r>
    </w:p>
    <w:p>
      <w:r>
        <w:rPr>
          <w:color w:val="555555"/>
          <w:sz w:val="18"/>
        </w:rPr>
        <w:t xml:space="preserve">Durchführungsverordnung zur SächsBO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eine durch Rechtsvorschrift angeordnete Schriftform bei elektronischen Verwaltungsakten in Verfahren nach § 12a Absatz 1 gilt § 1 Satz 1 des Gesetzes zur Regelung des Verwaltungsverfahrens- und des Verwaltungszustellungsrechts für den Freistaat Sachsen in Verbindung mit § 3a Absatz 3 Nummer 3 des Verwaltungsverfahrensgesetzes .</w:t>
      </w:r>
    </w:p>
    <w:p>
      <w:r>
        <w:t xml:space="preserve">(2) Für die Bekanntgabe von Verwaltungsakten in Verfahren nach § 12a Absatz 1 gilt § 2a des Gesetzes zur Regelung des Verwaltungsverfahrens- und des Verwaltungszustellungsrechts für den Freistaat Sachsen .</w:t>
      </w:r>
    </w:p>
    <w:p>
      <w:r>
        <w:rPr>
          <w:color w:val="555555"/>
          <w:sz w:val="17"/>
        </w:rPr>
        <w:t xml:space="preserve">Zitiervorschlag: § 12g DVOSächsBO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https://recht.nulegal.eu/gesetze/DVOS%C3%A4chsBO/12g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