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DVOPflanze (Nordrhein-Westfalen) — Inkrafttreten, Außerkrafttreten</w:t>
      </w:r>
    </w:p>
    <w:p>
      <w:r>
        <w:rPr>
          <w:color w:val="555555"/>
          <w:sz w:val="18"/>
        </w:rPr>
        <w:t xml:space="preserve">Durchführungsverordnung Pflanze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w:t>
      </w:r>
    </w:p>
    <w:p>
      <w:r>
        <w:t xml:space="preserve">Gleichzeitig tritt die Verordnung zur Durchführung des Pflanzenschutzgesetzes vom 4. Oktober 1988 (GV. NRW. S. 420), die zuletzt durch Artikel 17 des Gesetzes vom 15. November 2016 (GV. NRW. S. 934) geändert worden ist, außer Kraft.</w:t>
      </w:r>
    </w:p>
    <w:p>
      <w:r>
        <w:rPr>
          <w:color w:val="555555"/>
          <w:sz w:val="17"/>
        </w:rPr>
        <w:t xml:space="preserve">Zitiervorschlag: § 7 DVOPflanze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https://recht.nulegal.eu/gesetze/DVOPflanze/7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