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DVOGefHundG (Sachsen)</w:t>
      </w:r>
    </w:p>
    <w:p>
      <w:r>
        <w:rPr>
          <w:color w:val="555555"/>
          <w:sz w:val="18"/>
        </w:rPr>
        <w:t xml:space="preserve">Verordnung des Sächsischen Staatsministeriums des Innern zur Durchführung des Gesetzes zum Schutze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2 Satz 1 und § 8 Satz 3 des Gesetzes zum Schutze der Bevölkerung vor gefährlichen Hunden ( GefHundG ) vom 24. August 2000 (SächsGVBl. S. 358) wird im Einvernehmen mit dem Staatsministerium für Soziales, Gesundheit, Jugend und Familie verordnet:</w:t>
      </w:r>
    </w:p>
    <w:p>
      <w:r>
        <w:rPr>
          <w:color w:val="555555"/>
          <w:sz w:val="17"/>
        </w:rPr>
        <w:t xml:space="preserve">Zitiervorschlag: Eingangsformel DVOGefHundG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https://recht.nulegal.eu/gesetze/DVOGefHundG/eingangsformel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