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DVNOG (Bayern)</w:t>
      </w:r>
    </w:p>
    <w:p>
      <w:r>
        <w:rPr>
          <w:color w:val="555555"/>
          <w:sz w:val="18"/>
        </w:rPr>
        <w:t xml:space="preserve">Versicherungsanstalten-Verordnung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 Art. 4 Satz 2, Art. 5 Abs. 1 Satz 2 und Art. 21 Abs. 1 Satz 4, Abs. 2 Satz 1 des Gesetzes zur Neuordnung der Rechtsverhältnisse der öffentlich-rechtlichen Versicherungsanstalten des Freistaates Bayern vom 23. Juli 1994 (GVBl S. 603, BayRS 763-15-I) erläßt die Bayerische Staatsregierung folgende Verordnung:</w:t>
      </w:r>
    </w:p>
    <w:p>
      <w:r>
        <w:rPr>
          <w:color w:val="555555"/>
          <w:sz w:val="17"/>
        </w:rPr>
        <w:t xml:space="preserve">Zitiervorschlag: Eingangsformel DVNOG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https://recht.nulegal.eu/gesetze/DVNOG/eingangsformel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