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DVNOG (Bayern) — Grundkapital, Gewährträgerhaftung</w:t>
      </w:r>
    </w:p>
    <w:p>
      <w:r>
        <w:rPr>
          <w:color w:val="555555"/>
          <w:sz w:val="18"/>
        </w:rPr>
        <w:t xml:space="preserve">Versicherungsanstalten-Verordnung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Anstalt wird Grundkapital gebildet, dessen Höhe in der Satzung der Anstalt bestimmt wird. Träger des Grundkapitals sind die VBG Versicherungsbeteiligungsgesellschaft mbH &amp; Co. KG, der Sparkassenverband Bayern, der Sparkassenverband Rheinland-Pfalz sowie der Sparkassenverband Saar. Die Höhe der Anteile der Träger am Grundkapital wird in der Satzung der Anstalt bestimmt.</w:t>
      </w:r>
    </w:p>
    <w:p>
      <w:r>
        <w:t xml:space="preserve">(2) Alleiniger Gewährträger der Anstalt ist der Sparkassenverband Bayern.</w:t>
      </w:r>
    </w:p>
    <w:p>
      <w:r>
        <w:rPr>
          <w:color w:val="555555"/>
          <w:sz w:val="17"/>
        </w:rPr>
        <w:t xml:space="preserve">Zitiervorschlag: § 2 DVNOG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https://recht.nulegal.eu/gesetze/DVNOG/2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