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DVFoVG (Bayern)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4. Juni 2003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