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DVFoVG (Bayern)</w:t>
      </w:r>
    </w:p>
    <w:p>
      <w:r>
        <w:rPr>
          <w:color w:val="555555"/>
          <w:sz w:val="18"/>
        </w:rPr>
        <w:t xml:space="preserve">Verordnung zur Durchführung des Forstvermehrungsgutgesetzes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7 Abs. 4 des Forstvermehrungsgutgesetzes (FoVG) vom 22. Mai 2002 (BGBl I S. 1658) in Verbindung mit Art. 10 Abs. 1 Satz 2 und Abs. 4 des Gesetzes über Zuständigkeiten und den Vollzug von Rechtsvorschriften im Bereich der Land- und Forstwirtschaft (ZuVLFG) vom 24. Juli 2003 (GVBl S. 470, BayRS 7801-1-L)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DVFoVG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https://recht.nulegal.eu/gesetze/DVFoVG/eingangsformel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