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DVFoVG (Bayern) — Ordnungswidrigkeiten</w:t>
      </w:r>
    </w:p>
    <w:p>
      <w:r>
        <w:rPr>
          <w:color w:val="555555"/>
          <w:sz w:val="18"/>
        </w:rPr>
        <w:t xml:space="preserve">Verordnung zur Durchführung des Forstvermehrungsgutgesetzes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§ 23 Abs. 2 Nr. 13 Buchst. a und Abs. 3 FoVG kann mit Geldbuße bis zu zwanzigtausend Euro belegt werden, wer den §§ 2, 3 oder 4 zuwider handelt.</w:t>
      </w:r>
    </w:p>
    <w:p>
      <w:r>
        <w:rPr>
          <w:color w:val="555555"/>
          <w:sz w:val="17"/>
        </w:rPr>
        <w:t xml:space="preserve">Zitiervorschlag: § 5 DVFoVG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https://recht.nulegal.eu/gesetze/DVFoVG/5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