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DVBayLArztG (Bayern)</w:t>
      </w:r>
    </w:p>
    <w:p>
      <w:r>
        <w:rPr>
          <w:color w:val="555555"/>
          <w:sz w:val="18"/>
        </w:rPr>
        <w:t xml:space="preserve">Verordnung zur Durchführung des Bayerischen Land- und Amtsarztgesetzes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des Art. 3 Abs. 4 des Bayerischen Land- und Amtsarztgesetzes (BayLArztG) vom 23. Dezember 2019 (GVBl. S. 722, BayRS 2122-7-G) verordnet das Staatsministerium für Gesundheit und Pflege im Einvernehmen mit dem Staatsministerium für Wissenschaft und Kunst:</w:t>
      </w:r>
    </w:p>
    <w:p>
      <w:r>
        <w:rPr>
          <w:color w:val="555555"/>
          <w:sz w:val="17"/>
        </w:rPr>
        <w:t xml:space="preserve">Zitiervorschlag: Eingangsformel DVBayLArztG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https://recht.nulegal.eu/gesetze/DVBayLArztG/eingangsformel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