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DVBayKrG (Bayern) — Anpassung der Jahrespauschale</w:t>
      </w:r>
    </w:p>
    <w:p>
      <w:r>
        <w:rPr>
          <w:color w:val="555555"/>
          <w:sz w:val="18"/>
        </w:rPr>
        <w:t xml:space="preserve">Verordnung zur Durchführung des Bayerischen Krankenhausgesetzes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Jahrespauschale ist nach Ablauf von drei Jahren an die Kostenentwicklung anzupassen.</w:t>
      </w:r>
    </w:p>
    <w:p>
      <w:r>
        <w:rPr>
          <w:color w:val="555555"/>
          <w:sz w:val="17"/>
        </w:rPr>
        <w:t xml:space="preserve">Zitiervorschlag: § 8 DVBayKrG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https://recht.nulegal.eu/gesetze/DVBayKrG/8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