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DVBayKrG (Bayern) — Verwendungsnachweis</w:t>
      </w:r>
    </w:p>
    <w:p>
      <w:r>
        <w:rPr>
          <w:color w:val="555555"/>
          <w:sz w:val="18"/>
        </w:rPr>
        <w:t xml:space="preserve">Verordnung zur Durchführung des Bayerischen Krankenhausgesetzes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Nach der Beendigung einer Maßnahme nach Art. 11 BayKrG hat der Krankenhausträger die sachgemäße Verwendung der Fördermittel nachzuweisen (Verwendungsnachweis) und hierzu vorzulegen:</w:t>
      </w:r>
    </w:p>
    <w:p>
      <w:r>
        <w:t xml:space="preserve">1. den sachlichen Bericht (Kurzbeschreibung der Maßnahme, Ausführung gemäß fachlicher Billigung, Maßnahmebeginn und -beendigung, Restarbeiten),</w:t>
      </w:r>
    </w:p>
    <w:p>
      <w:r>
        <w:t xml:space="preserve">2. die zeitliche Aufgliederung der Einnahmen (insbesondere Förderleistungen) und Ausgaben,</w:t>
      </w:r>
    </w:p>
    <w:p>
      <w:r>
        <w:t xml:space="preserve">3. eine Übersicht, mit der die Einhaltung der Vergabevorschriften nach § 16 Abs. 1 Satz 1 bis 3 dargelegt wird.</w:t>
      </w:r>
    </w:p>
    <w:p>
      <w:r>
        <w:t xml:space="preserve">Die zuständige Behörde kann die Vorlage ergänzender, z.B. rechnungsbegründender Unterlagen verlangen. Unterschreiten die tatsächlich förderfähigen Kosten den Festbetrag um mehr als 10 v.H. oder um mehr als 500 000 €, ist die Vorlage ergänzender Unterlagen regelmäßig erforderlich.</w:t>
      </w:r>
    </w:p>
    <w:p>
      <w:r>
        <w:t xml:space="preserve">(2) Die Vorlage des Verwendungsnachweises soll unverzüglich, spätestens innerhalb von 18 Monaten, bei den in § 1 Abs. 5 genannten Maßnahmen spätestens innerhalb von zwölf Monaten nach der Maßnahmebeendigung erfolgen. Die zuständige Behörde soll die Prüfung des Verwendungsnachweises innerhalb eines Jahres abschließen.</w:t>
      </w:r>
    </w:p>
    <w:p>
      <w:r>
        <w:t xml:space="preserve">(3) Werden für den Verwendungsnachweis erforderliche Unterlagen nicht vorgelegt, können die betreffenden Ausgaben von der Förderung ausgeschlossen werden.</w:t>
      </w:r>
    </w:p>
    <w:p>
      <w:r>
        <w:t xml:space="preserve">(4) Die zuständige Behörde prüft den Verwendungsnachweis grundsätzlich stichprobenweise dahin, ob die Festlegungen der fachlichen Billigung eingehalten sowie die Vergabevorschriften nach § 16 Abs. 1 Satz 1 bis 3 beachtet wurden. Das Ergebnis der Prüfung des Verwendungsnachweises wird durch Abschlussbescheid festgestellt.</w:t>
      </w:r>
    </w:p>
    <w:p>
      <w:r>
        <w:t xml:space="preserve">(5) Die Unterlagen nach Abs. 1 hat der Krankenhausträger fünf Jahre nach Bestandskraft des Abschlussbescheids aufzubewahren. Die zuständige Behörde kann, soweit erforderlich, eine Verlängerung dieser Frist anordnen. Weitergehende Aufbewahrungsfristen bleiben unberührt.</w:t>
      </w:r>
    </w:p>
    <w:p>
      <w:r>
        <w:rPr>
          <w:color w:val="555555"/>
          <w:sz w:val="17"/>
        </w:rPr>
        <w:t xml:space="preserve">Zitiervorschlag: § 5 DVBayKrG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https://recht.nulegal.eu/gesetze/DVBayKrG/5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