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DVBayKrG (Bayern) — Inkrafttreten</w:t>
      </w:r>
    </w:p>
    <w:p>
      <w:r>
        <w:rPr>
          <w:color w:val="555555"/>
          <w:sz w:val="18"/>
        </w:rPr>
        <w:t xml:space="preserve">Verordnung zur Durchführung des Bayerischen Krankenhausgesetzes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Januar 2008 in Kraft.</w:t>
      </w:r>
    </w:p>
    <w:p>
      <w:r>
        <w:rPr>
          <w:color w:val="555555"/>
          <w:sz w:val="17"/>
        </w:rPr>
        <w:t xml:space="preserve">Zitiervorschlag: § 22 DVBayKrG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https://recht.nulegal.eu/gesetze/DVBayKrG/22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