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DVBayKrG (Bayern) — Gemeinsame Mittelbewirtschaftung</w:t>
      </w:r>
    </w:p>
    <w:p>
      <w:r>
        <w:rPr>
          <w:color w:val="555555"/>
          <w:sz w:val="18"/>
        </w:rPr>
        <w:t xml:space="preserve">Verordnung zur Durchführung des Bayerischen Krankenhausgesetzes</w:t>
      </w:r>
    </w:p>
    <w:p>
      <w:r>
        <w:rPr>
          <w:color w:val="555555"/>
          <w:sz w:val="18"/>
        </w:rPr>
        <w:t xml:space="preserve">Landesrecht Bayern</w:t>
      </w:r>
    </w:p>
    <w:p>
      <w:r>
        <w:rPr>
          <w:color w:val="555555"/>
          <w:sz w:val="18"/>
        </w:rPr>
        <w:t xml:space="preserve">Stand: 25.08.2026 (konsolidierte Textfassung, kein amtliches Inkrafttretensdatum)</w:t>
      </w:r>
    </w:p>
    <w:p>
      <w:r>
        <w:t xml:space="preserve">Weist der Krankenhausplan im Verbund betriebene Krankenhäuser als ein Krankenhaus mit mehreren unselbstständigen Betriebsstätten aus, ist die Jahrespauschale unter Führung eines einheitlichen Verwendungsnachweises gemeinsam zu bewirtschaften. Dabei sind die einzelnen Investitionen den unselbstständigen Betriebsstätten zuzuordnen.</w:t>
      </w:r>
    </w:p>
    <w:p>
      <w:r>
        <w:rPr>
          <w:color w:val="555555"/>
          <w:sz w:val="17"/>
        </w:rPr>
        <w:t xml:space="preserve">Zitiervorschlag: § 10 DVBayKrG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https://recht.nulegal.eu/gesetze/DVBayKrG/10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