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DVBayEFG (Bayern)</w:t>
      </w:r>
    </w:p>
    <w:p>
      <w:r>
        <w:rPr>
          <w:color w:val="555555"/>
          <w:sz w:val="18"/>
        </w:rPr>
        <w:t xml:space="preserve">Verordnung zur Durchführung des Bayerischen Eliteförderungsgesetzes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9 des Bayerischen Eliteförderungsgesetzes (BayEFG) vom 26. April 2005 (GVBl S. 104, BayRS 2230-2-3-WFK) erlässt das Bayerische Staatsministerium für Wissenschaft, Forschung und Kunst im Einvernehmen mit den Bayerischen Staatsministerien für Unterricht und Kultus und Finanzen folgende Verordnung:</w:t>
      </w:r>
    </w:p>
    <w:p>
      <w:r>
        <w:rPr>
          <w:color w:val="555555"/>
          <w:sz w:val="17"/>
        </w:rPr>
        <w:t xml:space="preserve">Zitiervorschlag: Eingangsformel DVBayEFG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https://recht.nulegal.eu/gesetze/DVBayEFG/eingangsformel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