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DVBayEFG (Bayern) — Anrechnungsregelungen, Geldleistungen</w:t>
      </w:r>
    </w:p>
    <w:p>
      <w:r>
        <w:rPr>
          <w:color w:val="555555"/>
          <w:sz w:val="18"/>
        </w:rPr>
        <w:t xml:space="preserve">Verordnung zur Durchführung des Bayerischen Eliteförderungsgesetzes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nichts anderes bestimmt ist, ist das Einkommen der Geförderten auf die zu gewährenden Geldleistungen anzurechnen. Für die Bestimmung des Einkommens gilt § 21 des Bundesausbildungsförderungsgesetzes (BAföG) – mit Ausnahme von § 21 Abs. 3 Satz 1 Nr. 1 und 4 BAföG – entsprechend. Leistungen nach diesem Gesetz gelten nicht als Einkommen.</w:t>
      </w:r>
    </w:p>
    <w:p>
      <w:r>
        <w:t xml:space="preserve">(2) Der Berechnungszeitraum für das Einkommen der Geförderten bestimmt sich in entsprechender Anwendung des § 22 BAföG.</w:t>
      </w:r>
    </w:p>
    <w:p>
      <w:r>
        <w:t xml:space="preserve">(3) Vom Einkommen der Geförderten werden Freibeträge in entsprechender Anwendung des § 23 BAföG – mit Ausnahme von § 23 Abs. 4 Nr. 1 und 4 BAföG – gewährt. Einkünfte der Geförderten aus wissenschaftlicher Nebentätigkeit von maximal einem Viertel der regelmäßigen wöchentlichen Arbeitszeit werden auf das Stipendium nicht angerechnet. Andere Einkünfte werden angerechnet, soweit das Jahreseinkommen gemäß Abs. 2 nach Abzug der darauf entfallenden Einkommen- und Kirchensteuer sowie die steuerlich anerkannten Vorsorgeaufwendungen 3 070 € übersteigt. Dieser Betrag erhöht sich um 1 025 € für jedes zu unterhaltende Kind.</w:t>
      </w:r>
    </w:p>
    <w:p>
      <w:r>
        <w:t xml:space="preserve">(4) Geldbeträge werden auf volle Euro abgerundet. Eine Auszahlung von Beträgen unter 50 € erfolgt nicht.</w:t>
      </w:r>
    </w:p>
    <w:p>
      <w:r>
        <w:rPr>
          <w:color w:val="555555"/>
          <w:sz w:val="17"/>
        </w:rPr>
        <w:t xml:space="preserve">Zitiervorschlag: § 3 DVBayEFG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https://recht.nulegal.eu/gesetze/DVBayEFG/3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