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DVBayEFG (Bayern) — Inkrafttreten, Übergangsregelung, Außerkrafttreten</w:t>
      </w:r>
    </w:p>
    <w:p>
      <w:r>
        <w:rPr>
          <w:color w:val="555555"/>
          <w:sz w:val="18"/>
        </w:rPr>
        <w:t xml:space="preserve">Verordnung zur Durchführung des Bayerischen Eliteförderungsgesetzes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Mai 2005 in Kraft. Für Schulabsolventen und Schulabsolventinnen der gymnasialen Oberstufe des Abiturjahrgangs 2019 gilt § 5 Abs. 3 Satz 1 Nr. 2 Buchst. a in der bis 31. August 2018 geltenden Fassung. § 5 Abs. 2 Satz 4 tritt am 31. Dezember 2021 außer Kraft.</w:t>
      </w:r>
    </w:p>
    <w:p>
      <w:r>
        <w:rPr>
          <w:color w:val="555555"/>
          <w:sz w:val="17"/>
        </w:rPr>
        <w:t xml:space="preserve">Zitiervorschlag: § 17 DVBayEFG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https://recht.nulegal.eu/gesetze/DVBayEFG/17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