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DVAsyl (Bayern) — Entstehen und Beendigung der Kostenschuld, Fälligkeit, Anwendbarkeit des Kostengesetzes</w:t>
      </w:r>
    </w:p>
    <w:p>
      <w:r>
        <w:rPr>
          <w:color w:val="555555"/>
          <w:sz w:val="18"/>
        </w:rPr>
        <w:t xml:space="preserve">Asyldurchführungsverordnung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Kostenschuld entsteht mit dem Tag des Einzugs in die Einrichtung nach § 22 Abs. 1. Die Kostenpflicht endet mit Beendigung des Nutzungsverhältnisses.</w:t>
      </w:r>
    </w:p>
    <w:p>
      <w:r>
        <w:t xml:space="preserve">(2) Die Kosten werden mit der Bekanntgabe des Kostenbescheids fällig. Bei der Berechnung der Kosten wird der Monat nach tatsächlichen Tagen berechnet.</w:t>
      </w:r>
    </w:p>
    <w:p>
      <w:r>
        <w:t xml:space="preserve">(3) Die Art. 17 und 18 des Kostengesetzes finden keine Anwendung.</w:t>
      </w:r>
    </w:p>
    <w:p>
      <w:r>
        <w:rPr>
          <w:color w:val="555555"/>
          <w:sz w:val="17"/>
        </w:rPr>
        <w:t xml:space="preserve">Zitiervorschlag: § 27 DVAsyl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https://recht.nulegal.eu/gesetze/DVAsyl/27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