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DVAsyl (Bayern) — Anspruchseinschränkungen, Überbrückungsleistungen und sonstige Leistungen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für die Leistungsgewährung bei Anspruchseinschränkung nach § 1a AsylbLG richtet sich jeweils nach der Zuständigkeitsregelung, die bei uneingeschränktem Leistungsbezug Anwendung finden würde. Eine einmal begründete sachliche Zuständigkeit bleibt von einem bei uneingeschränktem Leistungsbezug gegebenenfalls erfolgenden Leistungswechsel zwischen Grund- und Analogleistungsbezug unberührt.</w:t>
      </w:r>
    </w:p>
    <w:p>
      <w:r>
        <w:t xml:space="preserve">(2) Die Zuständigkeit für die Gewährung von Überbrückungsleistungen nach § 1 Abs. 4 AsylbLG und sonstiger Leistungen nach dem Asylbewerberleistungsgesetz richtet sich nach § 18, wenn der Leistungsberechtigte Anspruch auf Leistungen in besonderen Fällen nach § 2 AsylbLG hat oder im Fall des § 1 Abs. 4 AsylbLG hätte, ansonsten nach § 14.</w:t>
      </w:r>
    </w:p>
    <w:p>
      <w:r>
        <w:rPr>
          <w:color w:val="555555"/>
          <w:sz w:val="17"/>
        </w:rPr>
        <w:t xml:space="preserve">Zitiervorschlag: § 19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