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DVAsyl (Bayern) — Leistungen nach den §§ 4 und 6 AsylbLG</w:t>
      </w:r>
    </w:p>
    <w:p>
      <w:r>
        <w:rPr>
          <w:color w:val="555555"/>
          <w:sz w:val="18"/>
        </w:rPr>
        <w:t xml:space="preserve">Asyldurchführungsverordnung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örtlichen Träger gewähren die erforderlichen Leistungen bei Krankheit, Schwangerschaft und Geburt (§ 4 AsylbLG) und die sonstigen, zur Sicherung des Lebensunterhalts oder der Gesundheit unerlässlichen, zur Deckung besonderer Bedürfnisse von Kindern gebotenen oder zur Erfüllung einer verwaltungsrechtlichen Mitwirkungspflicht erforderlichen Leistungen (§ 6 AsylbLG).</w:t>
      </w:r>
    </w:p>
    <w:p>
      <w:r>
        <w:t xml:space="preserve">(2) Für Aufnahmeeinrichtungen nach § 4 kann das Staatsministerium bestimmen, dass diese Leistungen ganz oder teilweise durch die Regierungen gewährt werden.</w:t>
      </w:r>
    </w:p>
    <w:p>
      <w:r>
        <w:rPr>
          <w:color w:val="555555"/>
          <w:sz w:val="17"/>
        </w:rPr>
        <w:t xml:space="preserve">Zitiervorschlag: § 15 DVAsyl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https://recht.nulegal.eu/gesetze/DVAsyl/15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