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DVAsyl (Bayern) — Anwendungsbereich</w:t>
      </w:r>
    </w:p>
    <w:p>
      <w:r>
        <w:rPr>
          <w:color w:val="555555"/>
          <w:sz w:val="18"/>
        </w:rPr>
        <w:t xml:space="preserve">Asyldurchführungsverordnung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findet Anwendung auf Ausländer, die</w:t>
      </w:r>
    </w:p>
    <w:p>
      <w:r>
        <w:t xml:space="preserve">1. leistungsberechtigt nach § 1 des Asylbewerberleistungsgesetzes (AsylbLG) sind, oder</w:t>
      </w:r>
    </w:p>
    <w:p>
      <w:r>
        <w:t xml:space="preserve">2. der Verpflichtung nach § 12a des Aufenthaltsgesetzes (AufenthG) unterliegen.</w:t>
      </w:r>
    </w:p>
    <w:p>
      <w:r>
        <w:t xml:space="preserve">(2) Unabhängig von Abs. 1 findet Teil 5 der Verordnung Anwendung auf Personen, die Einrichtungen gemäß §§ 4 oder 5 in Anspruch nehmen.</w:t>
      </w:r>
    </w:p>
    <w:p>
      <w:r>
        <w:rPr>
          <w:color w:val="555555"/>
          <w:sz w:val="17"/>
        </w:rPr>
        <w:t xml:space="preserve">Zitiervorschlag: § 1 DVAsyl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https://recht.nulegal.eu/gesetze/DVAsyl/1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