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DTFinVO2025 (Sachsen) — Inkrafttreten, Außerkrafttreten</w:t>
      </w:r>
    </w:p>
    <w:p>
      <w:r>
        <w:rPr>
          <w:color w:val="555555"/>
          <w:sz w:val="18"/>
        </w:rPr>
        <w:t xml:space="preserve">Deutschlandticket-Finanzierungsverordnung 2025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30. Juni 2028 außer Kraft.</w:t>
      </w:r>
    </w:p>
    <w:p>
      <w:r>
        <w:t xml:space="preserve">Dresden, den 13. Mai 2025</w:t>
      </w:r>
    </w:p>
    <w:p>
      <w:r>
        <w:t xml:space="preserve">Die Staatsministerin für Infrastruktur und Landesentwicklung</w:t>
      </w:r>
    </w:p>
    <w:p>
      <w:r>
        <w:t xml:space="preserve">Regina Kraushaar</w:t>
      </w:r>
    </w:p>
    <w:p>
      <w:r>
        <w:rPr>
          <w:color w:val="555555"/>
          <w:sz w:val="17"/>
        </w:rPr>
        <w:t xml:space="preserve">Zitiervorschlag: § 8 DTFinVO2025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https://recht.nulegal.eu/gesetze/DTFinVO2025/8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DTFinVO2025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