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DTFinVO2024 (Sachsen) — Empfänger der Ausgleichsleistungen</w:t>
      </w:r>
    </w:p>
    <w:p>
      <w:r>
        <w:rPr>
          <w:color w:val="555555"/>
          <w:sz w:val="18"/>
        </w:rPr>
        <w:t xml:space="preserve">Deutschlandticket-Finanzierungsverordnung 2024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Empfänger sind die Aufgabenträger und Zusammenschlüsse nach § 3 Absatz 1 und § 4 Absatz 1 des Gesetzes über den öffentlichen Personennahverkehr im Freistaat Sachsen .</w:t>
      </w:r>
    </w:p>
    <w:p>
      <w:r>
        <w:rPr>
          <w:color w:val="555555"/>
          <w:sz w:val="17"/>
        </w:rPr>
        <w:t xml:space="preserve">Zitiervorschlag: § 3 DTFinVO2024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https://recht.nulegal.eu/gesetze/DTFinVO2024/3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DTFinVO2024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