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DSiegelErl</w:t>
      </w:r>
    </w:p>
    <w:p>
      <w:r>
        <w:rPr>
          <w:color w:val="555555"/>
          <w:sz w:val="18"/>
        </w:rPr>
        <w:t xml:space="preserve">Erlaß über die Dienstsiegel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übrigen führen alle Bundesbehörden das kleine Bundessiegel; das gleiche gilt für die Deutsche Bundesbank und ihre Urkundsbeamten.</w:t>
      </w:r>
    </w:p>
    <w:p>
      <w:r>
        <w:t xml:space="preserve">(2) Der Bundesminister des Innern kann Körperschaften des öffentlichen Rechts, die der Aufsicht von Bundesbehörden unterstehen, die Anwendung des Bundesadlers in ihren Dienstsiegeln gestatten, wenn ein besonderer Anlaß vorliegt.</w:t>
      </w:r>
    </w:p>
    <w:p>
      <w:r>
        <w:rPr>
          <w:color w:val="555555"/>
          <w:sz w:val="17"/>
        </w:rPr>
        <w:t xml:space="preserve">Zitiervorschlag: § 3 DSiegelErl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https://recht.nulegal.eu/gesetze/DSiegelErl/3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