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DSiegelErl</w:t>
      </w:r>
    </w:p>
    <w:p>
      <w:r>
        <w:rPr>
          <w:color w:val="555555"/>
          <w:sz w:val="18"/>
        </w:rPr>
        <w:t xml:space="preserve">Erlaß über die Dienstsiegel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Das Bundessiegel wird in Form und Größe der vorgelegten Bildtafel festgesetzt.</w:t>
      </w:r>
    </w:p>
    <w:p>
      <w:r>
        <w:t xml:space="preserve">(2) Das große Bundessiegel zeigt den Bundesadler ohne Umschrift, von einem Kranz umgeben; das kleine Bundessiegel den Bundesadler mit einer die siegelführende Behörde bezeichnenden Umschrift.</w:t>
      </w:r>
    </w:p>
    <w:p>
      <w:r>
        <w:rPr>
          <w:color w:val="555555"/>
          <w:sz w:val="17"/>
        </w:rPr>
        <w:t xml:space="preserve">Zitiervorschlag: § 1 DSiegelErl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https://recht.nulegal.eu/gesetze/DSiegelErl/1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