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DSchG NRW (Nordrhein-Westfalen)</w:t>
      </w:r>
    </w:p>
    <w:p>
      <w:r>
        <w:rPr>
          <w:color w:val="555555"/>
          <w:sz w:val="18"/>
        </w:rPr>
        <w:t xml:space="preserve">Denkmalschutzgesetz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02.09.2026 (konsolidierte Textfassung, kein amtliches Inkrafttretensdatum)</w:t>
      </w:r>
    </w:p>
    <w:p>
      <w:r>
        <w:t xml:space="preserve">Teil 1</w:t>
      </w:r>
    </w:p>
    <w:p>
      <w:r>
        <w:t xml:space="preserve">Allgemeine Vorschriften</w:t>
      </w:r>
    </w:p>
    <w:p>
      <w:r>
        <w:rPr>
          <w:color w:val="555555"/>
          <w:sz w:val="17"/>
        </w:rPr>
        <w:t xml:space="preserve">Zitiervorschlag: Volltext DSchG NRW (Nordrhein-Westfalen)</w:t>
      </w:r>
    </w:p>
    <w:p>
      <w:r>
        <w:rPr>
          <w:color w:val="555555"/>
          <w:sz w:val="17"/>
        </w:rPr>
        <w:t xml:space="preserve">Quelle: nrwrecht, abgerufen 02.09.2026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https://recht.nulegal.eu/gesetze/DSchG%20NRW/volltext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