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DSchG NRW (Nordrhein-Westfalen) — Erlaubnispflichten bei Baudenkmälern</w:t>
      </w:r>
    </w:p>
    <w:p>
      <w:r>
        <w:rPr>
          <w:color w:val="555555"/>
          <w:sz w:val="18"/>
        </w:rPr>
        <w:t xml:space="preserve">Denkmalschutzgesetz</w:t>
      </w:r>
    </w:p>
    <w:p>
      <w:r>
        <w:rPr>
          <w:color w:val="555555"/>
          <w:sz w:val="18"/>
        </w:rPr>
        <w:t xml:space="preserve">Landesrecht Nordrhein-Westfalen</w:t>
      </w:r>
    </w:p>
    <w:p>
      <w:r>
        <w:rPr>
          <w:color w:val="555555"/>
          <w:sz w:val="18"/>
        </w:rPr>
        <w:t xml:space="preserve">Stand: 02.09.2026 (konsolidierte Textfassung, kein amtliches Inkrafttretensdatum)</w:t>
      </w:r>
    </w:p>
    <w:p>
      <w:r>
        <w:t xml:space="preserve">(1) Wer ein Baudenkmal oder einen Teil eines Baudenkmals beseitigen, verändern, an einen anderen Ort verbringen oder dessen bisherige Nutzung ändern will, bedarf der Erlaubnis der Unteren Denkmalbehörde. Instandsetzungsarbeiten bedürfen keiner Genehmigung, wenn sie sich nur auf Teile des Denkmals auswirken, die für seinen Denkmalwert ohne Bedeutung sind.</w:t>
      </w:r>
    </w:p>
    <w:p>
      <w:r>
        <w:t xml:space="preserve">(2) Der Erlaubnis bedarf auch, wer in der engeren Umgebung eines Baudenkmals Anlagen errichten, verändern oder beseitigen will, wenn sich dies auf die denkmalwerte Substanz oder das Erscheinungsbild des Baudenkmals auswirken kann.</w:t>
      </w:r>
    </w:p>
    <w:p>
      <w:r>
        <w:t xml:space="preserve">(3) Die Erlaubnis nach den Absätzen 1 und 2 ist zu erteilen, wenn Belange des Denkmalschutzes nicht entgegenstehen oder ein überwiegendes öffentliches Interesse die Maßnahme verlangt. Bei der Entscheidung sind insbesondere auch die Belange des Wohnungsbaus, des Klimas, des Einsatzes erneuerbarer Energien sowie der Barrierefreiheit angemessen zu berücksichtigen.</w:t>
      </w:r>
    </w:p>
    <w:p>
      <w:r>
        <w:t xml:space="preserve">(4) Erfordert eine nach Absatz 1 oder Absatz 2 erlaubnispflichtige Maßnahme einer Planfeststellung oder Gestattung nach anderen gesetzlichen Bestimmungen, haben die dafür zuständigen Behörden die Belange des Denkmalschutzes und der Denkmalpflege entsprechend diesem Gesetz in angemessener Weise zu berücksichtigen. Die Erlaubnis kann auch gesondert beantragt werden. Nicht planfeststellungspflichtige Änderungen von Infrastrukturvorhaben bedürfen keiner denkmalrechtlichen Erlaubnis.</w:t>
      </w:r>
    </w:p>
    <w:p>
      <w:r>
        <w:t xml:space="preserve">Abschnitt 3</w:t>
      </w:r>
    </w:p>
    <w:p>
      <w:r>
        <w:t xml:space="preserve">Denkmalbereiche</w:t>
      </w:r>
    </w:p>
    <w:p>
      <w:r>
        <w:rPr>
          <w:color w:val="555555"/>
          <w:sz w:val="17"/>
        </w:rPr>
        <w:t xml:space="preserve">Zitiervorschlag: § 9 DSchG NRW (Nordrhein-Westfalen)</w:t>
      </w:r>
    </w:p>
    <w:p>
      <w:r>
        <w:rPr>
          <w:color w:val="555555"/>
          <w:sz w:val="17"/>
        </w:rPr>
        <w:t xml:space="preserve">Quelle: nrwrecht, abgerufen 02.09.2026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