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DSchG NRW (Nordrhein-Westfalen) — Nutzung von Baudenkmälern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Baudenkmäler sollen möglichst entsprechend ihrer ursprünglichen Zweckbestimmung genutzt werden. Können Baudenkmäler nicht mehr entsprechend ihrer ursprünglichen Zweckbestimmung genutzt werden, sollen die Eigentümerin oder der Eigentümer sowie die sonstigen Nutzungsberechtigten eine der ursprünglichen gleiche oder gleichwertige Nutzung anstreben. Soweit dies nicht möglich ist, soll eine Nutzung gewählt werden, die eine möglichst weitgehende Erhaltung der denkmalwerten Substanz auf Dauer gewährleistet.</w:t>
      </w:r>
    </w:p>
    <w:p>
      <w:r>
        <w:t xml:space="preserve">(2) Baudenkmäler oder Teile derselben sollen der Öffentlichkeit zugänglich gemacht werden, soweit dies möglich und zumutbar ist. Dabei soll den Belangen von Menschen mit Behinderung Rechnung getragen werden.</w:t>
      </w:r>
    </w:p>
    <w:p>
      <w:r>
        <w:rPr>
          <w:color w:val="555555"/>
          <w:sz w:val="17"/>
        </w:rPr>
        <w:t xml:space="preserve">Zitiervorschlag: § 8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