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DSchG NRW (Nordrhein-Westfalen) — Erhaltung von Baudenkmälern</w:t>
      </w:r>
    </w:p>
    <w:p>
      <w:r>
        <w:rPr>
          <w:color w:val="555555"/>
          <w:sz w:val="18"/>
        </w:rPr>
        <w:t xml:space="preserve">Denkmalschutzgesetz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Eigentümerin oder der Eigentümer sowie die sonstigen Nutzungsberechtigten haben ihre Baudenkmäler im Rahmen des Zumutbaren denkmalgerecht zu erhalten, instand zu setzen, sachgemäß zu behandeln und vor Gefährdung zu schützen. Die dauerhafte Erhaltung der denkmalwerten Substanz ist zu gewährleisten. Die in Satz 1 genannten Personen oder die von ihnen Beauftragten haben die erforderlichen Arbeiten fachgerecht durchzuführen.</w:t>
      </w:r>
    </w:p>
    <w:p>
      <w:r>
        <w:t xml:space="preserve">(2) Die in Absatz 1 genannten Personen können durch die Untere Denkmalbehörde verpflichtet werden, Maßnahmen nach Absatz 1 ganz oder zum Teil durchzuführen, wenn und soweit diese hinsichtlich der Beeinträchtigung oder der Kosten für die Verpflichteten zumutbar sind. Die Zumutbarkeit ist unter Berücksichtigung der durch die Denkmaleigenschaft begründeten sozialen Bindung des Eigentums und dessen Privatnützigkeit zu bestimmen. Für die Zumutbarkeit ist auch zu berücksichtigen, inwieweit Zuwendungen aus öffentlichen Mitteln oder steuerliche Vorteile in Anspruch genommen werden können. Die Unzumutbarkeit ist durch die in Absatz 1 genannten Personen nachzuweisen. Sie können sich dabei nicht auf Umstände berufen, die aus einer Unterlassung der Verpflichtungen nach Absatz 1 resultieren.</w:t>
      </w:r>
    </w:p>
    <w:p>
      <w:r>
        <w:t xml:space="preserve">(3) Bauliche, technische und wirtschaftliche Maßnahmen, die Baudenkmäler in ihrem Bestand, ihrem Erscheinungsbild oder ihrem wissenschaftlichen Wert gefährden oder beeinträchtigen können, sind auf den erforderlichen Umfang zu beschränken.</w:t>
      </w:r>
    </w:p>
    <w:p>
      <w:r>
        <w:t xml:space="preserve">(4) Kommen die in Absatz 1 genannten Personen ihren Aufgaben nach Absatz 1 nicht nach und droht hierdurch eine unmittelbare Gefahr für das Baudenkmal, kann die zuständige Denkmalbehörde die gebotenen Maßnahmen selbst durchführen oder durchführen lassen. Mieterinnen und Mieter, Pächterinnen und Pächter sowie die sonstigen Nutzungsberechtigten haben die Durchführung der Maßnahmen zu dulden. Die Kosten der Maßnahmen tragen im Rahmen des Zumutbaren die in Absatz 1 genannten Personen.</w:t>
      </w:r>
    </w:p>
    <w:p>
      <w:r>
        <w:t xml:space="preserve">(5) Bei öffentlichen Bauvorhaben sind Aufwendungen zum Schutz von Baudenkmälern sowie zur Herstellung der Barrierefreiheit Teil der Baukosten. Dies gilt auch für öffentliche Bauvorhaben in privatrechtlicher Trägerschaft.</w:t>
      </w:r>
    </w:p>
    <w:p>
      <w:r>
        <w:rPr>
          <w:color w:val="555555"/>
          <w:sz w:val="17"/>
        </w:rPr>
        <w:t xml:space="preserve">Zitiervorschlag: § 7 DSchG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https://recht.nulegal.eu/gesetze/DSchG%20NRW/7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