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DSchG NRW (Nordrhein-Westfalen) — Unterschutzstellung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Baudenkmäler, Gartendenkmäler und bewegliche Denkmäler unterliegen mit der Eintragung in die Denkmalliste nach § 23 Absatz 1 oder § 4 Absatz 1, Denkmalbereiche mit ihrer Unterschutzstellung nach § 10 den Vorschriften dieses Gesetzes.</w:t>
      </w:r>
    </w:p>
    <w:p>
      <w:r>
        <w:t xml:space="preserve">(2) Der Schutz von Bodendenkmälern ist nicht von der Eintragung in die Denkmalliste abhängig.</w:t>
      </w:r>
    </w:p>
    <w:p>
      <w:r>
        <w:t xml:space="preserve">(3) Der Schutz dieses Gesetzes umfasst auch den Schutz vor Veränderungen der engeren Umgebung eines Denkmals oder eines Denkmalbereiches, soweit sie für dessen Erscheinungsbild von prägender Bedeutung ist.</w:t>
      </w:r>
    </w:p>
    <w:p>
      <w:r>
        <w:rPr>
          <w:color w:val="555555"/>
          <w:sz w:val="17"/>
        </w:rPr>
        <w:t xml:space="preserve">Zitiervorschlag: § 5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