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DSchG NRW (Nordrhein-Westfalen) — Übergangsvorschriften</w:t>
      </w:r>
    </w:p>
    <w:p>
      <w:r>
        <w:rPr>
          <w:color w:val="555555"/>
          <w:sz w:val="18"/>
        </w:rPr>
        <w:t xml:space="preserve">Denkmalschutzgesetz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bis zum Inkrafttreten dieses Gesetzes vorgenommenen Eintragungen von Denkmälern sowie erteilten Erlaubnisse gelten fort.</w:t>
      </w:r>
    </w:p>
    <w:p>
      <w:r>
        <w:t xml:space="preserve">(2) Die vor dem Inkrafttreten dieses Gesetzes eingeleiteten Verfahren sind nach dem zum Zeitpunkt der Antragstellung geltenden Verfahren fortzuführen und abzuschließen. Abweichend von Satz 1 kann die Eigentümerin oder der Eigentümer sowie die sonstigen Nutzungsberechtigten eines Denkmals die Anwendung dieses Gesetzes anstelle des zur Zeit der Antragstellung geltenden Rechts beantragen.</w:t>
      </w:r>
    </w:p>
    <w:p>
      <w:r>
        <w:t xml:space="preserve">(3) Die Übernahme der Führung der Denkmallisten hinsichtlich der Bodendenkmäler durch das jeweils zuständige Denkmalfachamt nach § 23 Absatz 7 Satz 2 hat bis zum 31. Dezember 2024 zu erfolgen.</w:t>
      </w:r>
    </w:p>
    <w:p>
      <w:r>
        <w:rPr>
          <w:color w:val="555555"/>
          <w:sz w:val="17"/>
        </w:rPr>
        <w:t xml:space="preserve">Zitiervorschlag: § 43 DSchG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https://recht.nulegal.eu/gesetze/DSchG%20NRW/43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