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DSchG NRW (Nordrhein-Westfalen) — Rechtsverordnungen</w:t>
      </w:r>
    </w:p>
    <w:p>
      <w:r>
        <w:rPr>
          <w:color w:val="555555"/>
          <w:sz w:val="18"/>
        </w:rPr>
        <w:t xml:space="preserve">Denkmalschutzgesetz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Verwirklichung der in den §§ 6, 10, 23, 24, 37 und 40 bezeichneten Anforderungen wird das für Denkmalschutz und Denkmalpflege zuständige Ministerium ermächtigt, durch Rechtsverordnung Vorschriften zu erlassen über</w:t>
      </w:r>
    </w:p>
    <w:p>
      <w:r>
        <w:t xml:space="preserve">1. die nähere Bestimmung allgemeiner Anforderungen,</w:t>
      </w:r>
    </w:p>
    <w:p>
      <w:r>
        <w:t xml:space="preserve">2. die erforderlichen Anträge und Anzeigen, insbesondere deren Inhalt, Umfang und Form,</w:t>
      </w:r>
    </w:p>
    <w:p>
      <w:r>
        <w:t xml:space="preserve">3. die Festlegung von Unteren Denkmalbehörden, die für die Wahrnehmung der ihnen übertragenen Aufgabe nicht angemessen ausgestattet sind, sowie</w:t>
      </w:r>
    </w:p>
    <w:p>
      <w:r>
        <w:t xml:space="preserve">4. die Verfahren im Einzelnen.</w:t>
      </w:r>
    </w:p>
    <w:p>
      <w:r>
        <w:t xml:space="preserve">(2) Das für Denkmalschutz und Denkmalpflege zuständige Ministerium wird ermächtigt, durch Rechtsverordnung die zum Schutz der Denkmäler für den Fall von Katastrophen erforderlichen Vorschriften zu erlassen.</w:t>
      </w:r>
    </w:p>
    <w:p>
      <w:r>
        <w:t xml:space="preserve">(3) Das für Denkmalschutz und Denkmalpflege zuständige Ministerium erlässt die zur Durchführung dieses Gesetzes oder der aufgrund dieses Gesetzes erlassenen Rechtsverordnungen erforderlichen Verwaltungsvorschriften.</w:t>
      </w:r>
    </w:p>
    <w:p>
      <w:r>
        <w:rPr>
          <w:color w:val="555555"/>
          <w:sz w:val="17"/>
        </w:rPr>
        <w:t xml:space="preserve">Zitiervorschlag: § 42 DSchG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https://recht.nulegal.eu/gesetze/DSchG%20NRW/42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DSchG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