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DSchG NRW (Nordrhein-Westfalen) — Vorläufiger Schutz</w:t>
      </w:r>
    </w:p>
    <w:p>
      <w:r>
        <w:rPr>
          <w:color w:val="555555"/>
          <w:sz w:val="18"/>
        </w:rPr>
        <w:t xml:space="preserve">Denkmalschutzgesetz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Teilt die Untere Denkmalbehörde der Eigentümerin oder dem Eigentümer sowie den sonstigen Nutzungsberechtigten die Absicht der Einleitung eines Unterschutzstellungsverfahrens über eine Sache, Mehrheiten von Sachen oder Teile von Sachen nach § 2 mit, unterliegen diese ab Zugang der Mitteilung vorläufig den Schutzvorschriften dieses Gesetzes (vorläufiger Schutz). Die Untere Denkmalbehörde weist in ihrer Mitteilung auf den vorläufigen Schutz hin. § 23 Absatz 5 Satz 3 und 6 gilt entsprechend.</w:t>
      </w:r>
    </w:p>
    <w:p>
      <w:r>
        <w:t xml:space="preserve">(2) Der vorläufige Schutz entfällt, wenn die Unterschutzstellung nicht binnen sechs Monaten nach der Mitteilung nach Absatz 1 eingeleitet wird. Bei Vorliegen wichtiger Gründe kann diese Frist um höchstens drei Monate verlängert werden.</w:t>
      </w:r>
    </w:p>
    <w:p>
      <w:r>
        <w:rPr>
          <w:color w:val="555555"/>
          <w:sz w:val="17"/>
        </w:rPr>
        <w:t xml:space="preserve">Zitiervorschlag: § 4 DSchG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https://recht.nulegal.eu/gesetze/DSchG%20NRW/4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