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DSchG NRW (Nordrhein-Westfalen) — Erteilung von Bescheinigungen für steuerliche Zwecke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Bescheinigungen für die Erlangung von Steuervergünstigungen werden von der für das Denkmal zuständigen Denkmalbehörde erteilt. § 21 Absatz 4 Satz 2 gilt entsprechend. § 24 findet keine Anwendung.</w:t>
      </w:r>
    </w:p>
    <w:p>
      <w:r>
        <w:t xml:space="preserve">Teil 6</w:t>
      </w:r>
    </w:p>
    <w:p>
      <w:r>
        <w:t xml:space="preserve">Sonderregelungen</w:t>
      </w:r>
    </w:p>
    <w:p>
      <w:r>
        <w:rPr>
          <w:color w:val="555555"/>
          <w:sz w:val="17"/>
        </w:rPr>
        <w:t xml:space="preserve">Zitiervorschlag: § 36 DSchG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