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DSchG NRW (Nordrhein-Westfalen) — Enteignende Maßnahmen und Entschädigung</w:t>
      </w:r>
    </w:p>
    <w:p>
      <w:r>
        <w:rPr>
          <w:color w:val="555555"/>
          <w:sz w:val="18"/>
        </w:rPr>
        <w:t xml:space="preserve">Denkmalschutzgesetz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der Vollzug dieses Gesetzes enteignende Wirkung hat, ist der oder dem Betroffenen nach den Vorschriften des Landesenteignungs- und -entschädigungsgesetzes Entschädigung in Geld zu gewähren. Steuervorteile, die auf die Denkmaleigenschaft zurückzuführen sind, sind in allen Fällen in angemessenem Umfang auf die Entschädigung anzurechnen.</w:t>
      </w:r>
    </w:p>
    <w:p>
      <w:r>
        <w:t xml:space="preserve">Teil 5</w:t>
      </w:r>
    </w:p>
    <w:p>
      <w:r>
        <w:t xml:space="preserve">Denkmalförderung und Bescheinigungen für steuerliche Zwecke</w:t>
      </w:r>
    </w:p>
    <w:p>
      <w:r>
        <w:rPr>
          <w:color w:val="555555"/>
          <w:sz w:val="17"/>
        </w:rPr>
        <w:t xml:space="preserve">Zitiervorschlag: § 34 DSchG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https://recht.nulegal.eu/gesetze/DSchG%20NRW/34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