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DSchG NRW (Nordrhein-Westfalen) — Landespreis für Denkmalpflege und Denkmalschutz Nordrhein-Westfalen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Zur Würdigung der Leistungen der Denkmalpflege und des Denkmalschutzes verleiht die Oberste Denkmalbehörde einen Landespreis für Denkmalpflege und Denkmalschutz Nordrhein-Westfalen.</w:t>
      </w:r>
    </w:p>
    <w:p>
      <w:r>
        <w:rPr>
          <w:color w:val="555555"/>
          <w:sz w:val="17"/>
        </w:rPr>
        <w:t xml:space="preserve">Zitiervorschlag: § 29 DSchG NRW (Nordrhein-Westfalen)</w:t>
      </w:r>
    </w:p>
    <w:p>
      <w:r>
        <w:rPr>
          <w:color w:val="555555"/>
          <w:sz w:val="17"/>
        </w:rPr>
        <w:t xml:space="preserve">Quelle: nrwrecht, abgerufen 02.09.2026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